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Краснодарский край, ст. Чепигинская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Аксенова Сергея Викторовича </w:t>
      </w:r>
      <w:r>
        <w:rPr>
          <w:rFonts w:hint="default" w:ascii="Times New Roman" w:hAnsi="Times New Roman" w:cs="Times New Roman"/>
          <w:sz w:val="24"/>
          <w:szCs w:val="24"/>
        </w:rPr>
        <w:t>(20.08.1979, место рождения: ст. Чепигинская Брюховецкого района Краснодарского края, место жительства: Краснодарский край, ст. Чепигинская, ул. Энгельса, д. 16, ИНН: 232703003959, СНИЛС: 071-993-573-04),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Краснодарского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10.10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hint="default" w:ascii="Times New Roman" w:hAnsi="Times New Roman" w:cs="Times New Roman"/>
          <w:sz w:val="24"/>
          <w:szCs w:val="24"/>
        </w:rPr>
        <w:t>-7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128</w:t>
      </w:r>
      <w:r>
        <w:rPr>
          <w:rFonts w:hint="default" w:ascii="Times New Roman" w:hAnsi="Times New Roman" w:cs="Times New Roman"/>
          <w:sz w:val="24"/>
          <w:szCs w:val="24"/>
        </w:rPr>
        <w:t xml:space="preserve">/2023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50F9971">
      <w:pPr>
        <w:pStyle w:val="9"/>
        <w:spacing w:before="0" w:after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автотранспортное средство модель – легкового автомобиля LADA VESTA, 2021 г.в., VIN XTAGFL440MY548201, находится в собственности Аксенова Сергея Викторовича в залоге у ПАО Банк Зенит на основании Договора залога автотранспортного средства, приобретаемого в будущем № AVT-DZ-0000- 2536053 от 11.07.2021 г.</w:t>
      </w:r>
      <w:bookmarkEnd w:id="0"/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Решения Арбитражного суда </w:t>
      </w:r>
      <w:r>
        <w:rPr>
          <w:rFonts w:ascii="Times New Roman" w:hAnsi="Times New Roman" w:cs="Times New Roman"/>
          <w:sz w:val="24"/>
          <w:szCs w:val="24"/>
          <w:lang w:val="ru-RU"/>
        </w:rPr>
        <w:t>Краснодарского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01.06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делу № 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32</w:t>
      </w:r>
      <w:r>
        <w:rPr>
          <w:rFonts w:hint="default" w:ascii="Times New Roman" w:hAnsi="Times New Roman" w:eastAsia="SimSun" w:cs="Times New Roman"/>
          <w:sz w:val="24"/>
          <w:szCs w:val="24"/>
        </w:rPr>
        <w:t>-7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128</w:t>
      </w:r>
      <w:r>
        <w:rPr>
          <w:rFonts w:hint="default" w:ascii="Times New Roman" w:hAnsi="Times New Roman" w:eastAsia="SimSun" w:cs="Times New Roman"/>
          <w:sz w:val="24"/>
          <w:szCs w:val="24"/>
        </w:rPr>
        <w:t>/2023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8DA49BE"/>
    <w:rsid w:val="4F986F22"/>
    <w:rsid w:val="53F3368C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1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2025-03-11T04:11:36Z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5A0393BFF6A64FB1BB69C7564BE02B93_12</vt:lpwstr>
  </property>
</Properties>
</file>